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E" w:rsidRDefault="00E010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02E" w:rsidRDefault="00E0102E">
      <w:pPr>
        <w:pStyle w:val="ConsPlusNormal"/>
        <w:ind w:firstLine="540"/>
        <w:jc w:val="both"/>
        <w:outlineLvl w:val="0"/>
      </w:pPr>
    </w:p>
    <w:p w:rsidR="00E0102E" w:rsidRDefault="00E0102E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E0102E" w:rsidRDefault="00E0102E">
      <w:pPr>
        <w:pStyle w:val="ConsPlusTitle"/>
        <w:jc w:val="center"/>
      </w:pPr>
    </w:p>
    <w:p w:rsidR="00E0102E" w:rsidRDefault="00E0102E">
      <w:pPr>
        <w:pStyle w:val="ConsPlusTitle"/>
        <w:jc w:val="center"/>
      </w:pPr>
      <w:r>
        <w:t>ПРИКАЗ</w:t>
      </w:r>
    </w:p>
    <w:p w:rsidR="00E0102E" w:rsidRDefault="00E0102E">
      <w:pPr>
        <w:pStyle w:val="ConsPlusTitle"/>
        <w:jc w:val="center"/>
      </w:pPr>
      <w:r>
        <w:t>от 10 января 2014 г. N 4</w:t>
      </w:r>
    </w:p>
    <w:p w:rsidR="00E0102E" w:rsidRDefault="00E0102E">
      <w:pPr>
        <w:pStyle w:val="ConsPlusTitle"/>
        <w:jc w:val="center"/>
      </w:pPr>
    </w:p>
    <w:p w:rsidR="00E0102E" w:rsidRDefault="00E0102E">
      <w:pPr>
        <w:pStyle w:val="ConsPlusTitle"/>
        <w:jc w:val="center"/>
      </w:pPr>
      <w:r>
        <w:t>ОБ УТВЕРЖДЕНИИ МЕТОДИКИ ОСУЩЕСТВЛЕНИЯ МОНИТОРИНГА</w:t>
      </w:r>
    </w:p>
    <w:p w:rsidR="00E0102E" w:rsidRDefault="00E0102E">
      <w:pPr>
        <w:pStyle w:val="ConsPlusTitle"/>
        <w:jc w:val="center"/>
      </w:pPr>
      <w:r>
        <w:t>ПРАВОПРИМЕНЕНИЯ В ФЕДЕРАЛЬНОЙ СЛУЖБЕ ГОСУДАРСТВЕННОЙ</w:t>
      </w:r>
    </w:p>
    <w:p w:rsidR="00E0102E" w:rsidRDefault="00E0102E">
      <w:pPr>
        <w:pStyle w:val="ConsPlusTitle"/>
        <w:jc w:val="center"/>
      </w:pPr>
      <w:r>
        <w:t xml:space="preserve">СТАТИСТИКИ И ЕЕ ТЕРРИТОРИАЛЬНЫХ </w:t>
      </w:r>
      <w:proofErr w:type="gramStart"/>
      <w:r>
        <w:t>ОРГАНАХ</w:t>
      </w:r>
      <w:proofErr w:type="gramEnd"/>
    </w:p>
    <w:p w:rsidR="00E0102E" w:rsidRDefault="00E0102E">
      <w:pPr>
        <w:pStyle w:val="ConsPlusNormal"/>
        <w:jc w:val="center"/>
      </w:pPr>
    </w:p>
    <w:p w:rsidR="00E0102E" w:rsidRDefault="00E0102E">
      <w:pPr>
        <w:pStyle w:val="ConsPlusNormal"/>
        <w:ind w:firstLine="540"/>
        <w:jc w:val="both"/>
      </w:pPr>
      <w:r>
        <w:t xml:space="preserve">В целях реализации Федеральной службой государственной статистики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 (Собрание законодательства Российской Федерации, 2011, N 21, ст. 2930) приказываю: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5" w:history="1">
        <w:r>
          <w:rPr>
            <w:color w:val="0000FF"/>
          </w:rPr>
          <w:t>Методику</w:t>
        </w:r>
      </w:hyperlink>
      <w:r>
        <w:t xml:space="preserve"> осуществления мониторинга правоприменения в Федеральной службе государственной статистики и ее территориальных органах.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руководителя Росстата А.Л. Кевеша.</w:t>
      </w:r>
    </w:p>
    <w:p w:rsidR="00E0102E" w:rsidRDefault="00E0102E">
      <w:pPr>
        <w:pStyle w:val="ConsPlusNormal"/>
        <w:ind w:firstLine="540"/>
        <w:jc w:val="both"/>
      </w:pPr>
    </w:p>
    <w:p w:rsidR="00E0102E" w:rsidRDefault="00E0102E">
      <w:pPr>
        <w:pStyle w:val="ConsPlusNormal"/>
        <w:jc w:val="right"/>
      </w:pPr>
      <w:r>
        <w:t>Руководитель</w:t>
      </w:r>
    </w:p>
    <w:p w:rsidR="00E0102E" w:rsidRDefault="00E0102E">
      <w:pPr>
        <w:pStyle w:val="ConsPlusNormal"/>
        <w:jc w:val="right"/>
      </w:pPr>
      <w:r>
        <w:t>А.Е.СУРИНОВ</w:t>
      </w: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Normal"/>
        <w:jc w:val="right"/>
        <w:outlineLvl w:val="0"/>
      </w:pPr>
      <w:r>
        <w:t>Утверждена</w:t>
      </w:r>
    </w:p>
    <w:p w:rsidR="00E0102E" w:rsidRDefault="00E0102E">
      <w:pPr>
        <w:pStyle w:val="ConsPlusNormal"/>
        <w:jc w:val="right"/>
      </w:pPr>
      <w:r>
        <w:t>Приказом Росстата</w:t>
      </w:r>
    </w:p>
    <w:p w:rsidR="00E0102E" w:rsidRDefault="00E0102E">
      <w:pPr>
        <w:pStyle w:val="ConsPlusNormal"/>
        <w:jc w:val="right"/>
      </w:pPr>
      <w:r>
        <w:t>от 10 января 2014 г. N 4</w:t>
      </w:r>
    </w:p>
    <w:p w:rsidR="00E0102E" w:rsidRDefault="00E0102E">
      <w:pPr>
        <w:pStyle w:val="ConsPlusNormal"/>
        <w:jc w:val="right"/>
      </w:pPr>
    </w:p>
    <w:p w:rsidR="00E0102E" w:rsidRDefault="00E0102E">
      <w:pPr>
        <w:pStyle w:val="ConsPlusTitle"/>
        <w:jc w:val="center"/>
      </w:pPr>
      <w:bookmarkStart w:id="0" w:name="P25"/>
      <w:bookmarkEnd w:id="0"/>
      <w:r>
        <w:t>МЕТОДИКА</w:t>
      </w:r>
    </w:p>
    <w:p w:rsidR="00E0102E" w:rsidRDefault="00E0102E">
      <w:pPr>
        <w:pStyle w:val="ConsPlusTitle"/>
        <w:jc w:val="center"/>
      </w:pPr>
      <w:r>
        <w:t>ОСУЩЕСТВЛЕНИЯ МОНИТОРИНГА ПРАВОПРИМЕНЕНИЯ</w:t>
      </w:r>
    </w:p>
    <w:p w:rsidR="00E0102E" w:rsidRDefault="00E0102E">
      <w:pPr>
        <w:pStyle w:val="ConsPlusTitle"/>
        <w:jc w:val="center"/>
      </w:pPr>
      <w:r>
        <w:t>В ФЕДЕРАЛЬНОЙ СЛУЖБЕ ГОСУДАРСТВЕННОЙ СТАТИСТИКИ</w:t>
      </w:r>
    </w:p>
    <w:p w:rsidR="00E0102E" w:rsidRDefault="00E0102E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</w:p>
    <w:p w:rsidR="00E0102E" w:rsidRDefault="00E0102E">
      <w:pPr>
        <w:pStyle w:val="ConsPlusNormal"/>
        <w:jc w:val="center"/>
      </w:pPr>
    </w:p>
    <w:p w:rsidR="00E0102E" w:rsidRDefault="00E010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осуществления мониторинга правоприменения в Федеральной службе государственной статистики и ее территориальных органах подготовлена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20.05.2011 N 657 "О мониторинге правоприменения в Российской Федерации" (Собрание законодательства Российской Федерации, 2011, N 21, ст. 2930) (далее - Указ),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19.08.2011 N 694 "Об утверждении Методики осуществления мониторинга правоприменения"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2011, N 351, ст. 5081).</w:t>
      </w:r>
      <w:proofErr w:type="gramEnd"/>
    </w:p>
    <w:p w:rsidR="00E0102E" w:rsidRDefault="00E0102E">
      <w:pPr>
        <w:pStyle w:val="ConsPlusNormal"/>
        <w:spacing w:before="220"/>
        <w:ind w:firstLine="540"/>
        <w:jc w:val="both"/>
      </w:pPr>
      <w:r>
        <w:t>2. Мониторинг правоприменения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 ходе мониторинга правоприменения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правоприменения.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lastRenderedPageBreak/>
        <w:t>Мониторинг правоприменения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правоприменении.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3. Мониторинг правоприменения осуществляется в соответствии с Планом мониторинга правоприменения на соответствующий год, утвержденным Правительством Российской Федерации (далее - План мониторинга правоприменения).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 отношении нормативных правовых актов (или их группы), по которым требуется провести мониторинг правоприменения в текущем году, мониторинг правоприменения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правоприменения.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4. Мониторинг правоприменения включает в себя сбор, обобщение, анализ и оценку практики применения: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федеральных конституционных законов;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в) федеральных законов;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д) указов Президента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е) постановлений Правительства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При осуществлении мониторинга правоприменения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5. При осуществлении мониторинга правоприменения используется: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а) практика судов общей юрисдикции и арбитражных судов;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E0102E" w:rsidRDefault="00E0102E">
      <w:pPr>
        <w:pStyle w:val="ConsPlusNormal"/>
        <w:spacing w:before="220"/>
        <w:ind w:firstLine="540"/>
        <w:jc w:val="both"/>
      </w:pPr>
      <w:proofErr w:type="gramStart"/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E0102E" w:rsidRDefault="00E0102E">
      <w:pPr>
        <w:pStyle w:val="ConsPlusNormal"/>
        <w:spacing w:before="220"/>
        <w:ind w:firstLine="540"/>
        <w:jc w:val="both"/>
      </w:pPr>
      <w:r>
        <w:lastRenderedPageBreak/>
        <w:t>г) информация, поступившая из общественных, научных, правозащитных и иных организаций;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д) информация, почерпнутая из средств массовой информации;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е) информация, поступившая от граждан;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ж) информация, поступившая из иных источников.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При осуществлении мониторинга правоприменения могут быть </w:t>
      </w:r>
      <w:proofErr w:type="gramStart"/>
      <w:r>
        <w:t>использованы</w:t>
      </w:r>
      <w:proofErr w:type="gramEnd"/>
      <w:r>
        <w:t xml:space="preserve"> в том числе следующие виды информации: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а) статистическая информация, получаемая на основе статистических показателей;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социологическая информация, формируемая на основе социологических исследований.</w:t>
      </w:r>
    </w:p>
    <w:p w:rsidR="00E0102E" w:rsidRDefault="00E0102E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6. При осуществлении мониторинга правоприменения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а) несоблюдение гарантированных прав, свобод и законных интересов человека и гражданина;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е) наличие в нормативном правовом акте коррупциогенных факторов;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ж) неполнота в правовом регулировании общественных отношений;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з) коллизия норм права;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и) наличие ошибок юридико-технического характера;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л) искажение смысла положений нормативного правового акта при его применении;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м) неправомерные или необоснованные решения, действия (бездействие) при применении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lastRenderedPageBreak/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о) наличие (отсутствие) единообразной практики применения нормативных правовых актов;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п) количество и содержание заявлений по вопросам разъяснения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7.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неправомерные или необоснованные решения, действия (бездействие) при применении нормативного правового акта;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в) наличие в нормативном правовом акте коррупциогенных факторов;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г) наиболее часто встречающиеся коррупциогенные факторы в нормативных правовых актах;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д) количество коррупциогенных факторов, выявленных в нормативном правовом акте при проведении антикоррупционной экспертизы уполномоченным органом;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е) количество коррупциогенных факторов, выявленных в нормативном правовом акте при проведении антикоррупционной экспертизы независимыми экспертами;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коррупциогенных факторов;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8. В целях устранения противоречий между нормативными правовыми актами равной </w:t>
      </w:r>
      <w:r>
        <w:lastRenderedPageBreak/>
        <w:t>юридической силы при осуществлении мониторинга правоприменения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б) наличие единой понятийно-терминологической системы в нормативных правовых актах;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в) наличие дублирующих норм права в нормативных правовых актах;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д) наличие ошибок юридико-технического характера в нормативных правовых актах;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9. При необходимости мониторинг правоприменения может быть осуществлен по дополнительным показателям, определяемым исполнителем.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10. Мониторинг правоприменения осуществляется в сроки, установленные Планом мониторинга правоприменения.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11. Мониторинг правоприменения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правоприменения (далее - исполнители).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Ответственным за подготовку сводной информации в виде предложений к проектам плана мониторинга, информации об исполнении </w:t>
      </w:r>
      <w:hyperlink r:id="rId10" w:history="1">
        <w:r>
          <w:rPr>
            <w:color w:val="0000FF"/>
          </w:rPr>
          <w:t>Указа</w:t>
        </w:r>
      </w:hyperlink>
      <w: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К мониторингу правоприменения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В указанных предложениях отражать: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lastRenderedPageBreak/>
        <w:t>отрасль (подотрасль) законодательства либо группу нормативных правовых актов, мониторинг которых планируется осуществить;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сроки осуществления мониторинга;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иные данные.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правоприменения,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По мере исполнения </w:t>
      </w:r>
      <w:hyperlink r:id="rId11" w:history="1">
        <w:r>
          <w:rPr>
            <w:color w:val="0000FF"/>
          </w:rPr>
          <w:t>Указа</w:t>
        </w:r>
      </w:hyperlink>
      <w: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правоприменения.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Указанная информация должна содержать сведения:</w:t>
      </w:r>
    </w:p>
    <w:p w:rsidR="00E0102E" w:rsidRDefault="00E0102E">
      <w:pPr>
        <w:pStyle w:val="ConsPlusNormal"/>
        <w:spacing w:before="220"/>
        <w:ind w:firstLine="540"/>
        <w:jc w:val="both"/>
      </w:pPr>
      <w:proofErr w:type="gramStart"/>
      <w:r>
        <w:t>об организации и ходе работы по мониторингу правоприменения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правоприменеия;</w:t>
      </w:r>
      <w:proofErr w:type="gramEnd"/>
    </w:p>
    <w:p w:rsidR="00E0102E" w:rsidRDefault="00E0102E">
      <w:pPr>
        <w:pStyle w:val="ConsPlusNormal"/>
        <w:spacing w:before="220"/>
        <w:ind w:firstLine="540"/>
        <w:jc w:val="both"/>
      </w:pPr>
      <w:r>
        <w:t>описание системных проблем в соответствующей отрасли законодательства или по конкретному вопросу;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>
        <w:t>установленных актами большей юридической</w:t>
      </w:r>
      <w:proofErr w:type="gramEnd"/>
      <w:r>
        <w:t xml:space="preserve"> силы;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перечень принятых нормативных правовых актов Российской Федерации по результатам мониторинга правоприменеия;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перечень проектов федеральных законов и иных нормативных правовых актов, разработанных по результатам мониторинга правоприменения;</w:t>
      </w:r>
    </w:p>
    <w:p w:rsidR="00E0102E" w:rsidRDefault="00E0102E">
      <w:pPr>
        <w:pStyle w:val="ConsPlusNormal"/>
        <w:spacing w:before="220"/>
        <w:ind w:firstLine="540"/>
        <w:jc w:val="both"/>
      </w:pPr>
      <w:proofErr w:type="gramStart"/>
      <w: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коррупциогенных факторах, выявленных в нормативном правовом акте при проведении антикоррупционной экспертизы уполномоченным органом, и иные выводы, </w:t>
      </w:r>
      <w:r>
        <w:lastRenderedPageBreak/>
        <w:t xml:space="preserve">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 - 8 Методики;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правоприменения.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>При осуществлении мониторинга правоприменения Административное управление осуществляет сбор, обобщение и анализ полученной от исполнителей информации о проведенном ими мониторинге правоприменения в установленной сфере деятельности и представляет его руководителю Росстата для подписания.</w:t>
      </w:r>
    </w:p>
    <w:p w:rsidR="00E0102E" w:rsidRDefault="00E010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0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02E" w:rsidRDefault="00E010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02E" w:rsidRDefault="00E010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02E" w:rsidRDefault="00E010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2E" w:rsidRDefault="00E0102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02E" w:rsidRDefault="00E0102E">
            <w:pPr>
              <w:spacing w:after="1" w:line="0" w:lineRule="atLeast"/>
            </w:pPr>
          </w:p>
        </w:tc>
      </w:tr>
    </w:tbl>
    <w:p w:rsidR="00E0102E" w:rsidRDefault="00E0102E">
      <w:pPr>
        <w:pStyle w:val="ConsPlusNormal"/>
        <w:spacing w:before="280"/>
        <w:ind w:firstLine="540"/>
        <w:jc w:val="both"/>
      </w:pPr>
      <w:r>
        <w:t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правоприменения или по собственной инициативе, до 1 июня.</w:t>
      </w:r>
    </w:p>
    <w:p w:rsidR="00E0102E" w:rsidRDefault="00E0102E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r:id="rId12" w:history="1">
        <w:r>
          <w:rPr>
            <w:color w:val="0000FF"/>
          </w:rPr>
          <w:t>Указа</w:t>
        </w:r>
      </w:hyperlink>
      <w:r>
        <w:t xml:space="preserve"> Административное управление представляет в Министерство юстиции Российской Федерации до 1 ноября, 1 февраля, 1 мая текущего года.</w:t>
      </w:r>
    </w:p>
    <w:p w:rsidR="00E0102E" w:rsidRDefault="00E0102E">
      <w:pPr>
        <w:pStyle w:val="ConsPlusNormal"/>
        <w:ind w:firstLine="540"/>
        <w:jc w:val="both"/>
      </w:pPr>
    </w:p>
    <w:p w:rsidR="00E0102E" w:rsidRDefault="00E0102E">
      <w:pPr>
        <w:pStyle w:val="ConsPlusNormal"/>
        <w:ind w:firstLine="540"/>
        <w:jc w:val="both"/>
      </w:pPr>
    </w:p>
    <w:p w:rsidR="00E0102E" w:rsidRDefault="00E01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2" w:name="_GoBack"/>
      <w:bookmarkEnd w:id="2"/>
    </w:p>
    <w:sectPr w:rsidR="00683E99" w:rsidSect="000A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E"/>
    <w:rsid w:val="00683E99"/>
    <w:rsid w:val="008D2BE3"/>
    <w:rsid w:val="00B15EDA"/>
    <w:rsid w:val="00E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E0102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E0102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E01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E0102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E0102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E01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796C2E26727B96F289B337DCDCD6D90D1366AFEA707E4E4F7392848D378DD93CF729DF46393E24327F97E7DDF0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F796C2E26727B96F289B337DCDCD6D90D6386DF4A607E4E4F7392848D378DD93CF729DF46393E24327F97E7DDF03E" TargetMode="External"/><Relationship Id="rId12" Type="http://schemas.openxmlformats.org/officeDocument/2006/relationships/hyperlink" Target="consultantplus://offline/ref=83F796C2E26727B96F289B337DCDCD6D90D6386DF4A607E4E4F7392848D378DD93CF729DF46393E24327F97E7DDF0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796C2E26727B96F289B337DCDCD6D90D6386DF4A607E4E4F7392848D378DD81CF2A91F4668DE64632AF2F3BA41A141C84B574D29C6457DB0EE" TargetMode="External"/><Relationship Id="rId11" Type="http://schemas.openxmlformats.org/officeDocument/2006/relationships/hyperlink" Target="consultantplus://offline/ref=83F796C2E26727B96F289B337DCDCD6D90D6386DF4A607E4E4F7392848D378DD93CF729DF46393E24327F97E7DDF03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3F796C2E26727B96F289B337DCDCD6D90D6386DF4A607E4E4F7392848D378DD93CF729DF46393E24327F97E7DDF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796C2E26727B96F289B337DCDCD6D93D8396AF7F950E6B5A2372D408322CD97862795EA6688FC4439F9D70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2022-05-05T04:52:00Z</dcterms:created>
  <dcterms:modified xsi:type="dcterms:W3CDTF">2022-05-05T04:52:00Z</dcterms:modified>
</cp:coreProperties>
</file>